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A240" w14:textId="23F6F180" w:rsidR="009E022E" w:rsidRPr="009E022E" w:rsidRDefault="009E022E" w:rsidP="00D8681C">
      <w:pPr>
        <w:jc w:val="center"/>
        <w:rPr>
          <w:rFonts w:ascii="Calibri" w:hAnsi="Calibri" w:cs="Calibri"/>
          <w:i/>
          <w:iCs/>
        </w:rPr>
      </w:pPr>
      <w:r w:rsidRPr="009E022E">
        <w:rPr>
          <w:rFonts w:ascii="Calibri" w:hAnsi="Calibri" w:cs="Calibri"/>
          <w:i/>
          <w:iCs/>
        </w:rPr>
        <w:t>Halcion Opinion</w:t>
      </w:r>
    </w:p>
    <w:p w14:paraId="21F73D39" w14:textId="07E47000" w:rsidR="00361FAA" w:rsidRPr="00280540" w:rsidRDefault="00FB3EF5" w:rsidP="00D8681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November 7</w:t>
      </w:r>
      <w:r w:rsidR="00CB216A" w:rsidRPr="00280540">
        <w:rPr>
          <w:rFonts w:ascii="Calibri" w:hAnsi="Calibri" w:cs="Calibri"/>
        </w:rPr>
        <w:t>, 2025</w:t>
      </w:r>
    </w:p>
    <w:p w14:paraId="654C2514" w14:textId="2260A3C0" w:rsidR="005F21E7" w:rsidRDefault="00CB216A" w:rsidP="000861F9">
      <w:pPr>
        <w:rPr>
          <w:rFonts w:ascii="Calibri" w:hAnsi="Calibri" w:cs="Calibri"/>
        </w:rPr>
      </w:pPr>
      <w:r w:rsidRPr="00280540">
        <w:rPr>
          <w:rFonts w:ascii="Calibri" w:hAnsi="Calibri" w:cs="Calibri"/>
        </w:rPr>
        <w:tab/>
      </w:r>
      <w:r w:rsidR="005F21E7" w:rsidRPr="005F21E7">
        <w:rPr>
          <w:rFonts w:ascii="Calibri" w:hAnsi="Calibri" w:cs="Calibri"/>
        </w:rPr>
        <w:t>This opinion is issued by the Board of Dental Examiners of Alabama</w:t>
      </w:r>
      <w:r w:rsidR="00C23257">
        <w:rPr>
          <w:rFonts w:ascii="Calibri" w:hAnsi="Calibri" w:cs="Calibri"/>
        </w:rPr>
        <w:t xml:space="preserve"> (Board)</w:t>
      </w:r>
      <w:r w:rsidR="005F21E7" w:rsidRPr="005F21E7">
        <w:rPr>
          <w:rFonts w:ascii="Calibri" w:hAnsi="Calibri" w:cs="Calibri"/>
        </w:rPr>
        <w:t xml:space="preserve"> to address whether Halcion (Triazolam) is appropriate for use by dental </w:t>
      </w:r>
      <w:proofErr w:type="gramStart"/>
      <w:r w:rsidR="005F21E7" w:rsidRPr="005F21E7">
        <w:rPr>
          <w:rFonts w:ascii="Calibri" w:hAnsi="Calibri" w:cs="Calibri"/>
        </w:rPr>
        <w:t>licensees</w:t>
      </w:r>
      <w:proofErr w:type="gramEnd"/>
      <w:r w:rsidR="005F21E7" w:rsidRPr="005F21E7">
        <w:rPr>
          <w:rFonts w:ascii="Calibri" w:hAnsi="Calibri" w:cs="Calibri"/>
        </w:rPr>
        <w:t xml:space="preserve"> who do </w:t>
      </w:r>
      <w:r w:rsidR="005F21E7" w:rsidRPr="005F21E7">
        <w:rPr>
          <w:rFonts w:ascii="Calibri" w:hAnsi="Calibri" w:cs="Calibri"/>
          <w:b/>
          <w:bCs/>
          <w:u w:val="single"/>
        </w:rPr>
        <w:t>not</w:t>
      </w:r>
      <w:r w:rsidR="005F21E7" w:rsidRPr="005F21E7">
        <w:rPr>
          <w:rFonts w:ascii="Calibri" w:hAnsi="Calibri" w:cs="Calibri"/>
        </w:rPr>
        <w:t xml:space="preserve"> hold a permit for Oral Conscious Sedation (OCS)</w:t>
      </w:r>
      <w:r w:rsidR="00013193">
        <w:rPr>
          <w:rFonts w:ascii="Calibri" w:hAnsi="Calibri" w:cs="Calibri"/>
        </w:rPr>
        <w:t xml:space="preserve"> </w:t>
      </w:r>
      <w:r w:rsidR="00013193" w:rsidRPr="00280540">
        <w:rPr>
          <w:rFonts w:ascii="Calibri" w:hAnsi="Calibri" w:cs="Calibri"/>
        </w:rPr>
        <w:t>as set forth in Ala. Admin. Code r. 270-</w:t>
      </w:r>
      <w:proofErr w:type="gramStart"/>
      <w:r w:rsidR="00013193" w:rsidRPr="00280540">
        <w:rPr>
          <w:rFonts w:ascii="Calibri" w:hAnsi="Calibri" w:cs="Calibri"/>
        </w:rPr>
        <w:t>X-</w:t>
      </w:r>
      <w:proofErr w:type="gramEnd"/>
      <w:r w:rsidR="00013193" w:rsidRPr="00280540">
        <w:rPr>
          <w:rFonts w:ascii="Calibri" w:hAnsi="Calibri" w:cs="Calibri"/>
        </w:rPr>
        <w:t>2-.21</w:t>
      </w:r>
      <w:r w:rsidR="00013193">
        <w:rPr>
          <w:rFonts w:ascii="Calibri" w:hAnsi="Calibri" w:cs="Calibri"/>
        </w:rPr>
        <w:t>.</w:t>
      </w:r>
    </w:p>
    <w:p w14:paraId="09E708C1" w14:textId="7F47814B" w:rsidR="002D3A23" w:rsidRPr="005F21E7" w:rsidRDefault="002D3A23" w:rsidP="000861F9">
      <w:pPr>
        <w:ind w:firstLine="720"/>
        <w:rPr>
          <w:rFonts w:ascii="Calibri" w:hAnsi="Calibri" w:cs="Calibri"/>
        </w:rPr>
      </w:pPr>
      <w:r w:rsidRPr="00280540">
        <w:rPr>
          <w:rFonts w:ascii="Calibri" w:hAnsi="Calibri" w:cs="Calibri"/>
        </w:rPr>
        <w:t>The Board has discussed this matter and sets forth the following:</w:t>
      </w:r>
    </w:p>
    <w:p w14:paraId="31825D2F" w14:textId="6770CAA1" w:rsidR="0037730F" w:rsidRPr="00280540" w:rsidRDefault="005F21E7" w:rsidP="000861F9">
      <w:pPr>
        <w:ind w:firstLine="720"/>
        <w:rPr>
          <w:rFonts w:ascii="Calibri" w:hAnsi="Calibri" w:cs="Calibri"/>
        </w:rPr>
      </w:pPr>
      <w:r w:rsidRPr="005F21E7">
        <w:rPr>
          <w:rFonts w:ascii="Calibri" w:hAnsi="Calibri" w:cs="Calibri"/>
        </w:rPr>
        <w:t xml:space="preserve">The Board confirms that Halcion is </w:t>
      </w:r>
      <w:r w:rsidRPr="005F21E7">
        <w:rPr>
          <w:rFonts w:ascii="Calibri" w:hAnsi="Calibri" w:cs="Calibri"/>
          <w:b/>
          <w:bCs/>
          <w:u w:val="single"/>
        </w:rPr>
        <w:t>not</w:t>
      </w:r>
      <w:r w:rsidRPr="005F21E7">
        <w:rPr>
          <w:rFonts w:ascii="Calibri" w:hAnsi="Calibri" w:cs="Calibri"/>
        </w:rPr>
        <w:t xml:space="preserve"> appropriate for use or administration by dental </w:t>
      </w:r>
      <w:proofErr w:type="gramStart"/>
      <w:r w:rsidRPr="005F21E7">
        <w:rPr>
          <w:rFonts w:ascii="Calibri" w:hAnsi="Calibri" w:cs="Calibri"/>
        </w:rPr>
        <w:t>licensees</w:t>
      </w:r>
      <w:proofErr w:type="gramEnd"/>
      <w:r w:rsidRPr="005F21E7">
        <w:rPr>
          <w:rFonts w:ascii="Calibri" w:hAnsi="Calibri" w:cs="Calibri"/>
        </w:rPr>
        <w:t xml:space="preserve"> without an OCS permit. Its use is limited to licensees holding an OCS permit, as well as those with General Anesthesia and Parenteral Sedation permits following applicable rules.</w:t>
      </w:r>
    </w:p>
    <w:p w14:paraId="76B42745" w14:textId="17845E1A" w:rsidR="00CB216A" w:rsidRPr="00280540" w:rsidRDefault="003071E8" w:rsidP="000861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Anxiolytic medications appropriate to prescribe for patients in appropriate doses by the non-OCS permit holder</w:t>
      </w:r>
      <w:r w:rsidR="00346118" w:rsidRPr="00280540">
        <w:rPr>
          <w:rFonts w:ascii="Calibri" w:hAnsi="Calibri" w:cs="Calibri"/>
        </w:rPr>
        <w:t>:</w:t>
      </w:r>
    </w:p>
    <w:p w14:paraId="3C5FAFC6" w14:textId="40E90042" w:rsidR="00346118" w:rsidRPr="00280540" w:rsidRDefault="00346118" w:rsidP="000861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Hydroxyzine (Atarax, Vistaril)</w:t>
      </w:r>
    </w:p>
    <w:p w14:paraId="4E17907A" w14:textId="3DB268CF" w:rsidR="00346118" w:rsidRPr="00280540" w:rsidRDefault="00346118" w:rsidP="000861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Alprazolam (</w:t>
      </w:r>
      <w:r w:rsidR="003644CC" w:rsidRPr="00280540">
        <w:rPr>
          <w:rFonts w:ascii="Calibri" w:hAnsi="Calibri" w:cs="Calibri"/>
        </w:rPr>
        <w:t>Xanax)</w:t>
      </w:r>
    </w:p>
    <w:p w14:paraId="3A701946" w14:textId="008FC10A" w:rsidR="003644CC" w:rsidRPr="00280540" w:rsidRDefault="003644CC" w:rsidP="000861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Diazepam (Valium)</w:t>
      </w:r>
    </w:p>
    <w:p w14:paraId="3B06C3EB" w14:textId="1520A595" w:rsidR="00FD4E19" w:rsidRPr="007133A1" w:rsidRDefault="003644CC" w:rsidP="000861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Lorazepam</w:t>
      </w:r>
      <w:r w:rsidR="00E42685" w:rsidRPr="00280540">
        <w:rPr>
          <w:rFonts w:ascii="Calibri" w:hAnsi="Calibri" w:cs="Calibri"/>
        </w:rPr>
        <w:t xml:space="preserve"> (</w:t>
      </w:r>
      <w:r w:rsidR="00457B88" w:rsidRPr="00280540">
        <w:rPr>
          <w:rFonts w:ascii="Calibri" w:hAnsi="Calibri" w:cs="Calibri"/>
        </w:rPr>
        <w:t>Ativan)</w:t>
      </w:r>
    </w:p>
    <w:p w14:paraId="4611B633" w14:textId="069FFBAB" w:rsidR="00457B88" w:rsidRPr="00280540" w:rsidRDefault="00457B88" w:rsidP="000861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Anxiolytic/Sedative Hypnotic</w:t>
      </w:r>
      <w:r w:rsidR="00FD4E19" w:rsidRPr="00280540">
        <w:rPr>
          <w:rFonts w:ascii="Calibri" w:hAnsi="Calibri" w:cs="Calibri"/>
        </w:rPr>
        <w:t xml:space="preserve"> medications appropriate for an OCS provider to administer in the dental office in appropriate doses and with appropriate monitoring</w:t>
      </w:r>
      <w:r w:rsidR="002F6E2A" w:rsidRPr="00280540">
        <w:rPr>
          <w:rFonts w:ascii="Calibri" w:hAnsi="Calibri" w:cs="Calibri"/>
        </w:rPr>
        <w:t>:</w:t>
      </w:r>
    </w:p>
    <w:p w14:paraId="3F3B6303" w14:textId="563EBDE8" w:rsidR="002F6E2A" w:rsidRPr="00280540" w:rsidRDefault="002F6E2A" w:rsidP="000861F9">
      <w:pPr>
        <w:ind w:left="840"/>
        <w:rPr>
          <w:rFonts w:ascii="Calibri" w:hAnsi="Calibri" w:cs="Calibri"/>
        </w:rPr>
      </w:pPr>
      <w:r w:rsidRPr="00280540">
        <w:rPr>
          <w:rFonts w:ascii="Calibri" w:hAnsi="Calibri" w:cs="Calibri"/>
        </w:rPr>
        <w:t>Anxiolytic:</w:t>
      </w:r>
    </w:p>
    <w:p w14:paraId="195AF967" w14:textId="3C2E5458" w:rsidR="002F6E2A" w:rsidRPr="00280540" w:rsidRDefault="00B6015B" w:rsidP="000861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Hydroxyzine (Atarax, Vistaril)</w:t>
      </w:r>
    </w:p>
    <w:p w14:paraId="6E307457" w14:textId="0A2CBC9B" w:rsidR="00B6015B" w:rsidRPr="00280540" w:rsidRDefault="00B6015B" w:rsidP="000861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Alprazolam (Xanax)</w:t>
      </w:r>
    </w:p>
    <w:p w14:paraId="156B5905" w14:textId="2C4C65E3" w:rsidR="00B6015B" w:rsidRPr="00280540" w:rsidRDefault="00B6015B" w:rsidP="000861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Diazepam (Valium)</w:t>
      </w:r>
    </w:p>
    <w:p w14:paraId="74CB6C9D" w14:textId="5DC05B41" w:rsidR="00B6015B" w:rsidRPr="00280540" w:rsidRDefault="00B6015B" w:rsidP="000861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Lorazepam</w:t>
      </w:r>
      <w:r w:rsidR="009764A2" w:rsidRPr="00280540">
        <w:rPr>
          <w:rFonts w:ascii="Calibri" w:hAnsi="Calibri" w:cs="Calibri"/>
        </w:rPr>
        <w:t xml:space="preserve"> (Ativan)</w:t>
      </w:r>
    </w:p>
    <w:p w14:paraId="50C2A403" w14:textId="5E33B14C" w:rsidR="009764A2" w:rsidRPr="00280540" w:rsidRDefault="009764A2" w:rsidP="000861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Oral Midazolam (Versed)</w:t>
      </w:r>
    </w:p>
    <w:p w14:paraId="3CD55D16" w14:textId="401C3B48" w:rsidR="009764A2" w:rsidRPr="00280540" w:rsidRDefault="009764A2" w:rsidP="000861F9">
      <w:pPr>
        <w:ind w:left="720"/>
        <w:rPr>
          <w:rFonts w:ascii="Calibri" w:hAnsi="Calibri" w:cs="Calibri"/>
        </w:rPr>
      </w:pPr>
      <w:r w:rsidRPr="00280540">
        <w:rPr>
          <w:rFonts w:ascii="Calibri" w:hAnsi="Calibri" w:cs="Calibri"/>
        </w:rPr>
        <w:t>Sedative/Hypnotic</w:t>
      </w:r>
    </w:p>
    <w:p w14:paraId="27D877A0" w14:textId="2CDE9E21" w:rsidR="00C551A1" w:rsidRPr="007133A1" w:rsidRDefault="009764A2" w:rsidP="000861F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Tria</w:t>
      </w:r>
      <w:r w:rsidR="00C551A1" w:rsidRPr="00280540">
        <w:rPr>
          <w:rFonts w:ascii="Calibri" w:hAnsi="Calibri" w:cs="Calibri"/>
        </w:rPr>
        <w:t>zolam (Halcion)</w:t>
      </w:r>
    </w:p>
    <w:p w14:paraId="34540693" w14:textId="1924B49B" w:rsidR="00C551A1" w:rsidRPr="00280540" w:rsidRDefault="002D5763" w:rsidP="000861F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 xml:space="preserve">Sedative/Hypnotic medications that are </w:t>
      </w:r>
      <w:r w:rsidRPr="000861F9">
        <w:rPr>
          <w:rFonts w:ascii="Calibri" w:hAnsi="Calibri" w:cs="Calibri"/>
          <w:b/>
          <w:bCs/>
          <w:u w:val="single"/>
        </w:rPr>
        <w:t>not</w:t>
      </w:r>
      <w:r w:rsidRPr="00280540">
        <w:rPr>
          <w:rFonts w:ascii="Calibri" w:hAnsi="Calibri" w:cs="Calibri"/>
        </w:rPr>
        <w:t xml:space="preserve"> appropriate in the den</w:t>
      </w:r>
      <w:r w:rsidR="00C369DB" w:rsidRPr="00280540">
        <w:rPr>
          <w:rFonts w:ascii="Calibri" w:hAnsi="Calibri" w:cs="Calibri"/>
        </w:rPr>
        <w:t>tal office or to prescribe for out-of-office use:</w:t>
      </w:r>
    </w:p>
    <w:p w14:paraId="731D8F85" w14:textId="32C1D73F" w:rsidR="00C369DB" w:rsidRPr="00280540" w:rsidRDefault="00C369DB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80540">
        <w:rPr>
          <w:rFonts w:ascii="Calibri" w:hAnsi="Calibri" w:cs="Calibri"/>
        </w:rPr>
        <w:t>Estazolam</w:t>
      </w:r>
      <w:proofErr w:type="spellEnd"/>
      <w:r w:rsidRPr="00280540">
        <w:rPr>
          <w:rFonts w:ascii="Calibri" w:hAnsi="Calibri" w:cs="Calibri"/>
        </w:rPr>
        <w:t xml:space="preserve"> (</w:t>
      </w:r>
      <w:proofErr w:type="spellStart"/>
      <w:r w:rsidRPr="00280540">
        <w:rPr>
          <w:rFonts w:ascii="Calibri" w:hAnsi="Calibri" w:cs="Calibri"/>
        </w:rPr>
        <w:t>Pro</w:t>
      </w:r>
      <w:r w:rsidR="00124A4D" w:rsidRPr="00280540">
        <w:rPr>
          <w:rFonts w:ascii="Calibri" w:hAnsi="Calibri" w:cs="Calibri"/>
        </w:rPr>
        <w:t>Som</w:t>
      </w:r>
      <w:proofErr w:type="spellEnd"/>
      <w:r w:rsidR="00124A4D" w:rsidRPr="00280540">
        <w:rPr>
          <w:rFonts w:ascii="Calibri" w:hAnsi="Calibri" w:cs="Calibri"/>
        </w:rPr>
        <w:t>)</w:t>
      </w:r>
    </w:p>
    <w:p w14:paraId="20E539D7" w14:textId="749D2618" w:rsidR="00124A4D" w:rsidRPr="00280540" w:rsidRDefault="00124A4D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Flurazepam (Dalmane)</w:t>
      </w:r>
    </w:p>
    <w:p w14:paraId="5180C836" w14:textId="0C657F5B" w:rsidR="00124A4D" w:rsidRPr="00280540" w:rsidRDefault="00124A4D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Temazepam (Restoril)</w:t>
      </w:r>
    </w:p>
    <w:p w14:paraId="4ABEADDA" w14:textId="09C4AB07" w:rsidR="00124A4D" w:rsidRPr="00280540" w:rsidRDefault="00124A4D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Quazepam (Doral)</w:t>
      </w:r>
    </w:p>
    <w:p w14:paraId="6EB0D7E8" w14:textId="7EB0A6FB" w:rsidR="00124A4D" w:rsidRPr="00280540" w:rsidRDefault="00124A4D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Zol</w:t>
      </w:r>
      <w:r w:rsidR="00C54195" w:rsidRPr="00280540">
        <w:rPr>
          <w:rFonts w:ascii="Calibri" w:hAnsi="Calibri" w:cs="Calibri"/>
        </w:rPr>
        <w:t>pidem (Ambien)</w:t>
      </w:r>
    </w:p>
    <w:p w14:paraId="3ABFC14D" w14:textId="6BC1DADF" w:rsidR="00C54195" w:rsidRPr="00280540" w:rsidRDefault="00C54195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Eszopiclone (Lunesta)</w:t>
      </w:r>
    </w:p>
    <w:p w14:paraId="3CAF9550" w14:textId="0E106D2E" w:rsidR="00C54195" w:rsidRPr="00280540" w:rsidRDefault="00C54195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lastRenderedPageBreak/>
        <w:t>Doxepin (</w:t>
      </w:r>
      <w:proofErr w:type="spellStart"/>
      <w:r w:rsidRPr="00280540">
        <w:rPr>
          <w:rFonts w:ascii="Calibri" w:hAnsi="Calibri" w:cs="Calibri"/>
        </w:rPr>
        <w:t>Silenor</w:t>
      </w:r>
      <w:proofErr w:type="spellEnd"/>
      <w:r w:rsidRPr="00280540">
        <w:rPr>
          <w:rFonts w:ascii="Calibri" w:hAnsi="Calibri" w:cs="Calibri"/>
        </w:rPr>
        <w:t>)</w:t>
      </w:r>
    </w:p>
    <w:p w14:paraId="574939CF" w14:textId="2A1C1762" w:rsidR="00C54195" w:rsidRPr="00280540" w:rsidRDefault="00C54195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Ramelteon (Rozerem)</w:t>
      </w:r>
    </w:p>
    <w:p w14:paraId="7D0DFC4B" w14:textId="6AA63ECC" w:rsidR="00C54195" w:rsidRPr="00280540" w:rsidRDefault="00C54195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Suvorexant (</w:t>
      </w:r>
      <w:proofErr w:type="spellStart"/>
      <w:r w:rsidR="00272182" w:rsidRPr="00280540">
        <w:rPr>
          <w:rFonts w:ascii="Calibri" w:hAnsi="Calibri" w:cs="Calibri"/>
        </w:rPr>
        <w:t>Belsomra</w:t>
      </w:r>
      <w:proofErr w:type="spellEnd"/>
      <w:r w:rsidR="00272182" w:rsidRPr="00280540">
        <w:rPr>
          <w:rFonts w:ascii="Calibri" w:hAnsi="Calibri" w:cs="Calibri"/>
        </w:rPr>
        <w:t>)</w:t>
      </w:r>
    </w:p>
    <w:p w14:paraId="283C70E5" w14:textId="45899EFC" w:rsidR="00272182" w:rsidRPr="00280540" w:rsidRDefault="00272182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Lemborexant (</w:t>
      </w:r>
      <w:proofErr w:type="spellStart"/>
      <w:r w:rsidRPr="00280540">
        <w:rPr>
          <w:rFonts w:ascii="Calibri" w:hAnsi="Calibri" w:cs="Calibri"/>
        </w:rPr>
        <w:t>DayVigo</w:t>
      </w:r>
      <w:proofErr w:type="spellEnd"/>
      <w:r w:rsidRPr="00280540">
        <w:rPr>
          <w:rFonts w:ascii="Calibri" w:hAnsi="Calibri" w:cs="Calibri"/>
        </w:rPr>
        <w:t>)</w:t>
      </w:r>
    </w:p>
    <w:p w14:paraId="15519533" w14:textId="0E80824D" w:rsidR="00272182" w:rsidRPr="00280540" w:rsidRDefault="00272182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proofErr w:type="spellStart"/>
      <w:r w:rsidRPr="00280540">
        <w:rPr>
          <w:rFonts w:ascii="Calibri" w:hAnsi="Calibri" w:cs="Calibri"/>
        </w:rPr>
        <w:t>Daridorexant</w:t>
      </w:r>
      <w:proofErr w:type="spellEnd"/>
      <w:r w:rsidR="006F620A" w:rsidRPr="00280540">
        <w:rPr>
          <w:rFonts w:ascii="Calibri" w:hAnsi="Calibri" w:cs="Calibri"/>
        </w:rPr>
        <w:t xml:space="preserve"> (</w:t>
      </w:r>
      <w:proofErr w:type="spellStart"/>
      <w:r w:rsidR="006F620A" w:rsidRPr="00280540">
        <w:rPr>
          <w:rFonts w:ascii="Calibri" w:hAnsi="Calibri" w:cs="Calibri"/>
        </w:rPr>
        <w:t>Quviviq</w:t>
      </w:r>
      <w:proofErr w:type="spellEnd"/>
      <w:r w:rsidR="006F620A" w:rsidRPr="00280540">
        <w:rPr>
          <w:rFonts w:ascii="Calibri" w:hAnsi="Calibri" w:cs="Calibri"/>
        </w:rPr>
        <w:t>)</w:t>
      </w:r>
    </w:p>
    <w:p w14:paraId="4DF3FBC6" w14:textId="33FF10E0" w:rsidR="006F620A" w:rsidRPr="00280540" w:rsidRDefault="006F620A" w:rsidP="000861F9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80540">
        <w:rPr>
          <w:rFonts w:ascii="Calibri" w:hAnsi="Calibri" w:cs="Calibri"/>
        </w:rPr>
        <w:t>Sonata (Zaleplon</w:t>
      </w:r>
      <w:r w:rsidR="00F11BB9" w:rsidRPr="00280540">
        <w:rPr>
          <w:rFonts w:ascii="Calibri" w:hAnsi="Calibri" w:cs="Calibri"/>
        </w:rPr>
        <w:t>)</w:t>
      </w:r>
    </w:p>
    <w:p w14:paraId="3E0502C8" w14:textId="77777777" w:rsidR="00A2201D" w:rsidRPr="00280540" w:rsidRDefault="00A2201D" w:rsidP="000861F9">
      <w:pPr>
        <w:spacing w:after="0"/>
        <w:rPr>
          <w:rFonts w:ascii="Calibri" w:hAnsi="Calibri" w:cs="Calibri"/>
        </w:rPr>
      </w:pPr>
    </w:p>
    <w:p w14:paraId="41D924D4" w14:textId="6D0864CA" w:rsidR="00A2201D" w:rsidRPr="00280540" w:rsidRDefault="006144F1" w:rsidP="000861F9">
      <w:pPr>
        <w:spacing w:after="0"/>
        <w:ind w:left="720"/>
        <w:rPr>
          <w:rFonts w:ascii="Calibri" w:hAnsi="Calibri" w:cs="Calibri"/>
        </w:rPr>
      </w:pPr>
      <w:r w:rsidRPr="00280540">
        <w:rPr>
          <w:rFonts w:ascii="Calibri" w:hAnsi="Calibri" w:cs="Calibri"/>
        </w:rPr>
        <w:t>This list is not exhaustive and may be altered, amended, or changed by the Board</w:t>
      </w:r>
      <w:r w:rsidR="00A65642" w:rsidRPr="00280540">
        <w:rPr>
          <w:rFonts w:ascii="Calibri" w:hAnsi="Calibri" w:cs="Calibri"/>
        </w:rPr>
        <w:t>.</w:t>
      </w:r>
    </w:p>
    <w:sectPr w:rsidR="00A2201D" w:rsidRPr="0028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60"/>
    <w:multiLevelType w:val="hybridMultilevel"/>
    <w:tmpl w:val="EA8EDC8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A2F59B0"/>
    <w:multiLevelType w:val="hybridMultilevel"/>
    <w:tmpl w:val="4B86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5FA3"/>
    <w:multiLevelType w:val="hybridMultilevel"/>
    <w:tmpl w:val="7A1866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E71205"/>
    <w:multiLevelType w:val="hybridMultilevel"/>
    <w:tmpl w:val="A8FA32A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60" w:hanging="360"/>
      </w:p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60017030">
    <w:abstractNumId w:val="3"/>
  </w:num>
  <w:num w:numId="2" w16cid:durableId="1284118959">
    <w:abstractNumId w:val="0"/>
  </w:num>
  <w:num w:numId="3" w16cid:durableId="958685885">
    <w:abstractNumId w:val="2"/>
  </w:num>
  <w:num w:numId="4" w16cid:durableId="209813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6A"/>
    <w:rsid w:val="00010FF0"/>
    <w:rsid w:val="00013193"/>
    <w:rsid w:val="00037405"/>
    <w:rsid w:val="000861F9"/>
    <w:rsid w:val="00124A4D"/>
    <w:rsid w:val="001D7DA5"/>
    <w:rsid w:val="001F11CF"/>
    <w:rsid w:val="00272182"/>
    <w:rsid w:val="00280540"/>
    <w:rsid w:val="002A39B0"/>
    <w:rsid w:val="002B1E34"/>
    <w:rsid w:val="002C3801"/>
    <w:rsid w:val="002D3A23"/>
    <w:rsid w:val="002D5763"/>
    <w:rsid w:val="002F6E2A"/>
    <w:rsid w:val="003071E8"/>
    <w:rsid w:val="00346118"/>
    <w:rsid w:val="00361FAA"/>
    <w:rsid w:val="003644CC"/>
    <w:rsid w:val="0037730F"/>
    <w:rsid w:val="00457B88"/>
    <w:rsid w:val="0055676A"/>
    <w:rsid w:val="005E0375"/>
    <w:rsid w:val="005E07AB"/>
    <w:rsid w:val="005E7B8A"/>
    <w:rsid w:val="005F21E7"/>
    <w:rsid w:val="00612DBC"/>
    <w:rsid w:val="006144F1"/>
    <w:rsid w:val="00667F12"/>
    <w:rsid w:val="006B43D1"/>
    <w:rsid w:val="006F620A"/>
    <w:rsid w:val="00711AB9"/>
    <w:rsid w:val="007133A1"/>
    <w:rsid w:val="00767878"/>
    <w:rsid w:val="008A581B"/>
    <w:rsid w:val="008F005C"/>
    <w:rsid w:val="009764A2"/>
    <w:rsid w:val="009E022E"/>
    <w:rsid w:val="00A2201D"/>
    <w:rsid w:val="00A65642"/>
    <w:rsid w:val="00A75278"/>
    <w:rsid w:val="00AC1863"/>
    <w:rsid w:val="00B6015B"/>
    <w:rsid w:val="00BD6C53"/>
    <w:rsid w:val="00C23257"/>
    <w:rsid w:val="00C369DB"/>
    <w:rsid w:val="00C54195"/>
    <w:rsid w:val="00C551A1"/>
    <w:rsid w:val="00CB216A"/>
    <w:rsid w:val="00D8681C"/>
    <w:rsid w:val="00D93886"/>
    <w:rsid w:val="00E10EFA"/>
    <w:rsid w:val="00E42685"/>
    <w:rsid w:val="00ED6753"/>
    <w:rsid w:val="00F02CD2"/>
    <w:rsid w:val="00F11BB9"/>
    <w:rsid w:val="00FB3EF5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AB77"/>
  <w15:chartTrackingRefBased/>
  <w15:docId w15:val="{437DE598-8084-402E-B231-A841C486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Hetzel, Tara</dc:creator>
  <cp:keywords/>
  <dc:description/>
  <cp:lastModifiedBy>Mary Beth Finn</cp:lastModifiedBy>
  <cp:revision>2</cp:revision>
  <cp:lastPrinted>2025-09-15T13:48:00Z</cp:lastPrinted>
  <dcterms:created xsi:type="dcterms:W3CDTF">2025-11-12T19:25:00Z</dcterms:created>
  <dcterms:modified xsi:type="dcterms:W3CDTF">2025-11-12T19:25:00Z</dcterms:modified>
</cp:coreProperties>
</file>